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AC1B52" w:rsidP="00AC1B5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1268287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AC1B5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AC1B52" w:rsidP="00AC1B5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  <w:t xml:space="preserve">   </w:t>
      </w:r>
    </w:p>
    <w:p w:rsidR="000B59C1" w:rsidRDefault="00AC1B52" w:rsidP="00AC1B5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    </w:t>
      </w:r>
      <w:r w:rsidR="000B59C1"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</w:t>
      </w:r>
      <w:r w:rsidR="000B59C1"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="002A14ED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 w:rsidR="005E32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 w:rsidR="000B59C1"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mieszkaniowe</w:t>
      </w:r>
    </w:p>
    <w:p w:rsidR="002C12C0" w:rsidRPr="00AC1B52" w:rsidRDefault="002C12C0" w:rsidP="00AC1B5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AC1B52">
        <w:trPr>
          <w:trHeight w:val="205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5E320E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64/22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5E320E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777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5E320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Kosynierów</w:t>
            </w:r>
          </w:p>
          <w:p w:rsidR="000B59C1" w:rsidRPr="000B59C1" w:rsidRDefault="000B59C1" w:rsidP="005E32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5E320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5E320E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39.100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5E320E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3.910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2CA" w:rsidRPr="000B59C1" w:rsidRDefault="005E320E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C0" w:rsidRDefault="005E320E" w:rsidP="006A6BC0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 w:rsidR="00093C5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pośredniej strefie miasta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Na dzień oględzin brak drogi dojazdowej. 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Dostęp do przedmiotowej działki do drogi publicznej (ul. </w:t>
            </w:r>
            <w:r w:rsidR="00093C55">
              <w:rPr>
                <w:rFonts w:ascii="Garamond" w:hAnsi="Garamond"/>
                <w:sz w:val="16"/>
                <w:szCs w:val="16"/>
              </w:rPr>
              <w:t>Kosynierów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) poprzez </w:t>
            </w:r>
            <w:r w:rsidR="00093C55">
              <w:rPr>
                <w:rFonts w:ascii="Garamond" w:hAnsi="Garamond"/>
                <w:sz w:val="16"/>
                <w:szCs w:val="16"/>
              </w:rPr>
              <w:t xml:space="preserve">część </w:t>
            </w:r>
            <w:r w:rsidRPr="001814FD">
              <w:rPr>
                <w:rFonts w:ascii="Garamond" w:hAnsi="Garamond"/>
                <w:sz w:val="16"/>
                <w:szCs w:val="16"/>
              </w:rPr>
              <w:t>działk</w:t>
            </w:r>
            <w:r w:rsidR="00093C55">
              <w:rPr>
                <w:rFonts w:ascii="Garamond" w:hAnsi="Garamond"/>
                <w:sz w:val="16"/>
                <w:szCs w:val="16"/>
              </w:rPr>
              <w:t>i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093C55">
              <w:rPr>
                <w:rFonts w:ascii="Garamond" w:hAnsi="Garamond"/>
                <w:sz w:val="16"/>
                <w:szCs w:val="16"/>
              </w:rPr>
              <w:t>64/20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 (projektowana droga dojazdowa)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 Dojazd do działki tj. wykonanie zjazdu/wyjazdu z drogi ul. </w:t>
            </w:r>
            <w:r w:rsidR="00093C55">
              <w:rPr>
                <w:rFonts w:ascii="Garamond" w:hAnsi="Garamond"/>
                <w:sz w:val="16"/>
                <w:szCs w:val="16"/>
              </w:rPr>
              <w:t>Kosynierów</w:t>
            </w:r>
            <w:r w:rsidRPr="001814FD">
              <w:rPr>
                <w:rFonts w:ascii="Garamond" w:hAnsi="Garamond"/>
                <w:sz w:val="16"/>
                <w:szCs w:val="16"/>
              </w:rPr>
              <w:t xml:space="preserve"> oraz zagospodarowanie części dz. nr </w:t>
            </w:r>
            <w:r w:rsidR="00093C55">
              <w:rPr>
                <w:rFonts w:ascii="Garamond" w:hAnsi="Garamond"/>
                <w:sz w:val="16"/>
                <w:szCs w:val="16"/>
              </w:rPr>
              <w:t>64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093C55">
              <w:rPr>
                <w:rFonts w:ascii="Garamond" w:hAnsi="Garamond"/>
                <w:sz w:val="16"/>
                <w:szCs w:val="16"/>
              </w:rPr>
              <w:t>20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1814FD">
              <w:rPr>
                <w:rFonts w:ascii="Garamond" w:hAnsi="Garamond"/>
                <w:sz w:val="16"/>
                <w:szCs w:val="16"/>
              </w:rPr>
              <w:t>na ten cel, nabywca wykona we własnym zakresie i na własny koszt, po uzyskaniu stosownych zezwoleń</w:t>
            </w:r>
            <w:r w:rsidR="006A6BC0">
              <w:rPr>
                <w:rFonts w:ascii="Garamond" w:hAnsi="Garamond"/>
                <w:sz w:val="16"/>
                <w:szCs w:val="16"/>
              </w:rPr>
              <w:t>.</w:t>
            </w:r>
            <w:r w:rsidR="00AC1B52">
              <w:rPr>
                <w:rFonts w:ascii="Garamond" w:hAnsi="Garamond"/>
                <w:sz w:val="16"/>
                <w:szCs w:val="16"/>
              </w:rPr>
              <w:t xml:space="preserve"> Teren płaski, niezagospodarowany, częściowo ogrodzona. </w:t>
            </w:r>
            <w:r w:rsidR="001B4148">
              <w:rPr>
                <w:rFonts w:ascii="Garamond" w:hAnsi="Garamond"/>
                <w:sz w:val="16"/>
                <w:szCs w:val="16"/>
              </w:rPr>
              <w:t>Na terenie działki znajduje się przyłącze wodociągowe.</w:t>
            </w:r>
            <w:r w:rsidR="00530444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AC1B52">
              <w:rPr>
                <w:rFonts w:ascii="Garamond" w:hAnsi="Garamond"/>
                <w:sz w:val="16"/>
                <w:szCs w:val="16"/>
              </w:rPr>
              <w:t>Nieruchomość posiada możliwość przyłączy (od ul. Kosynierów) do instalacji wodno-kanalizacyjne, prądu, gazu ziemnego i telefonicznej.</w:t>
            </w:r>
          </w:p>
          <w:p w:rsidR="000B59C1" w:rsidRPr="000B59C1" w:rsidRDefault="00C36DF5" w:rsidP="00523A6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6A6B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64/17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 dla </w:t>
            </w:r>
            <w:r w:rsidR="006A6B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której została wydana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decyzja o warunkach zabudowy nr GB.6730.</w:t>
            </w:r>
            <w:r w:rsidR="006A6B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130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6A6B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.W z dnia </w:t>
            </w:r>
            <w:r w:rsidR="006A6BC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10.03.201</w:t>
            </w:r>
            <w:r w:rsidR="00523A6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określająca warunki zabudowy dla inwestycji polegającej na budowie budynku mieszkalnego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jednorodzinnego wolnostojącego.</w:t>
            </w:r>
            <w:r w:rsidR="003222CA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222CA" w:rsidRDefault="003222CA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093C55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09 listopada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093C5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093C5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06 listopada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422007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093C55">
        <w:rPr>
          <w:rFonts w:ascii="Garamond" w:eastAsia="Times New Roman" w:hAnsi="Garamond" w:cs="Times New Roman"/>
          <w:sz w:val="20"/>
          <w:szCs w:val="20"/>
          <w:lang w:eastAsia="pl-PL"/>
        </w:rPr>
        <w:t>130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093C55"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093C55">
        <w:rPr>
          <w:rFonts w:ascii="Garamond" w:eastAsia="Times New Roman" w:hAnsi="Garamond" w:cs="Times New Roman"/>
          <w:sz w:val="20"/>
          <w:szCs w:val="20"/>
          <w:lang w:eastAsia="pl-PL"/>
        </w:rPr>
        <w:t>10.03.2017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5E320E" w:rsidRDefault="005E320E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C1B52" w:rsidRDefault="00AC1B52" w:rsidP="00AC1B5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</w:t>
      </w: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</w:t>
      </w:r>
    </w:p>
    <w:p w:rsidR="002C12C0" w:rsidRPr="00AC1B52" w:rsidRDefault="002C12C0" w:rsidP="00AC1B52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AC1B52" w:rsidRPr="000B59C1" w:rsidTr="00C36F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AC1B52" w:rsidRPr="000B59C1" w:rsidRDefault="00AC1B52" w:rsidP="00C36F6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AC1B52" w:rsidRPr="000B59C1" w:rsidTr="00C36F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2C12C0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442/13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9F399C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936</w:t>
            </w:r>
            <w:r w:rsidR="00AC1B52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9F399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Podgórna</w:t>
            </w:r>
          </w:p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9F399C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44.500</w:t>
            </w:r>
            <w:r w:rsidR="00AC1B52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1B52" w:rsidRPr="000B59C1" w:rsidRDefault="009F399C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4.450</w:t>
            </w:r>
            <w:r w:rsidR="00AC1B52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52" w:rsidRPr="000B59C1" w:rsidRDefault="00AC1B52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52" w:rsidRDefault="00AC1B52" w:rsidP="00C36F6D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 w:rsidR="009F3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peryferyjnej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strefie miasta. </w:t>
            </w:r>
            <w:r w:rsidR="009F3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Sąsiedztwo stanowią tereny przeznaczone pod zabudowę mieszkaniową, tereny zabudowy mieszkaniowej oraz tereny nieużytków częściowo zadrzewione. Na dzień oględzin dojazd drogą o nawierzchni utwardzonej. Nieruchomość niezagospodarowana, stanowi nieużytek z licznymi </w:t>
            </w:r>
            <w:proofErr w:type="spellStart"/>
            <w:r w:rsidR="009F3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zadrzewieniami</w:t>
            </w:r>
            <w:proofErr w:type="spellEnd"/>
            <w:r w:rsidR="009F399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w północno-wschodniej części działki. Działka o kształcie regularnym, teren wnoszący się w kierunku północnym.</w:t>
            </w:r>
            <w:r w:rsidR="0084756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Teren, na którym znajduje się przedmiotowa działka w pełni uzbrojony – sieć miejska wodociągowa i kanalizacyjna, energetyczna, gazowa przy granicy nieruchomości.</w:t>
            </w:r>
          </w:p>
          <w:p w:rsidR="00AC1B52" w:rsidRPr="000B59C1" w:rsidRDefault="00AC1B52" w:rsidP="008475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84756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442/11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84756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która objęta została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4756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decyzją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 warunkach zabudowy nr GB.6730.</w:t>
            </w:r>
            <w:r w:rsidR="0084756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96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.2016.W z dnia </w:t>
            </w:r>
            <w:r w:rsidR="0084756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21.11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.2016 r. </w:t>
            </w:r>
          </w:p>
        </w:tc>
      </w:tr>
    </w:tbl>
    <w:p w:rsidR="00AC1B52" w:rsidRDefault="00AC1B52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18"/>
          <w:szCs w:val="18"/>
          <w:lang w:val="x-none" w:eastAsia="pl-PL"/>
        </w:rPr>
      </w:pPr>
    </w:p>
    <w:p w:rsidR="002C12C0" w:rsidRDefault="002C12C0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2C12C0" w:rsidRDefault="002C12C0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2C12C0" w:rsidRDefault="002C12C0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AC1B52" w:rsidRPr="000B59C1" w:rsidRDefault="00AC1B52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AC1B52" w:rsidRPr="000B59C1" w:rsidRDefault="00AC1B52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09 listopada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10: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AC1B52" w:rsidRPr="000B59C1" w:rsidRDefault="00AC1B52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06 listopada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AC1B52" w:rsidRPr="000B59C1" w:rsidRDefault="00AC1B52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C1B52" w:rsidRDefault="00AC1B52" w:rsidP="00AC1B5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9F399C">
        <w:rPr>
          <w:rFonts w:ascii="Garamond" w:eastAsia="Times New Roman" w:hAnsi="Garamond" w:cs="Times New Roman"/>
          <w:sz w:val="20"/>
          <w:szCs w:val="20"/>
          <w:lang w:eastAsia="pl-PL"/>
        </w:rPr>
        <w:t>96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9F399C">
        <w:rPr>
          <w:rFonts w:ascii="Garamond" w:eastAsia="Times New Roman" w:hAnsi="Garamond" w:cs="Times New Roman"/>
          <w:sz w:val="20"/>
          <w:szCs w:val="20"/>
          <w:lang w:eastAsia="pl-PL"/>
        </w:rPr>
        <w:t>21.11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.2017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847568" w:rsidRDefault="00847568" w:rsidP="0084756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847568" w:rsidRDefault="00847568" w:rsidP="0084756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budownictwo mieszka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niowe</w:t>
      </w:r>
    </w:p>
    <w:p w:rsidR="002C12C0" w:rsidRPr="00AC1B52" w:rsidRDefault="002C12C0" w:rsidP="00847568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847568" w:rsidRPr="000B59C1" w:rsidTr="00C36F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847568" w:rsidRPr="000B59C1" w:rsidRDefault="00847568" w:rsidP="00C36F6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847568" w:rsidRPr="000B59C1" w:rsidTr="00C36F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2C12C0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64/21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932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Miodowa</w:t>
            </w:r>
          </w:p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48.600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568" w:rsidRPr="000B59C1" w:rsidRDefault="00847568" w:rsidP="0084756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4.860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68" w:rsidRPr="000B59C1" w:rsidRDefault="00847568" w:rsidP="00C36F6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8" w:rsidRDefault="00847568" w:rsidP="00C36F6D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 w:rsidR="007A676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pośredniej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strefie miasta. Sąsiedztwo stanowią tereny </w:t>
            </w:r>
            <w:r w:rsidR="007A676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zabudowy mieszkaniowej z obiektami towarzyszącymi. Kształt działki zbliżony do prostokąta. Na działce występuje deniwelacja, różnica poziomu terenu ok 2 m</w:t>
            </w:r>
            <w:r w:rsidR="004C3A3C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Przy działce</w:t>
            </w:r>
            <w:r w:rsidR="007A676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rząd lip rosnących wzdłuż ulicy Miodowej. Obecnie część</w:t>
            </w:r>
            <w:r w:rsidR="004C45C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nieruchomości (od strony północnej) jest wykorzystywana jako ogródek działkowy – umowa dzierżawy nr 211/16 do dnia 31.12.2019 r. Na działce znajduje się budynek wykorzystywany jako altana ogrodowa przez dzierżawcę. Nieruchomość </w:t>
            </w:r>
            <w:r w:rsidR="00572F4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ogrodzona w części zajętej pod ogródek. </w:t>
            </w:r>
            <w:r w:rsidR="00572F47">
              <w:rPr>
                <w:rFonts w:ascii="Garamond" w:hAnsi="Garamond"/>
                <w:sz w:val="16"/>
                <w:szCs w:val="16"/>
              </w:rPr>
              <w:t>Nieruchomość posiada możliwość przyłączy (od ul. Miodowej) do instalacji wodno-kanalizacyjne, prądu, gazu ziemnego i telefonicznej.</w:t>
            </w:r>
          </w:p>
          <w:p w:rsidR="00847568" w:rsidRPr="000B59C1" w:rsidRDefault="00847568" w:rsidP="00523A6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442/11, która objęta została decyzją o warunkach zabudowy nr GB.6730</w:t>
            </w:r>
            <w:r w:rsidR="00523A6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.131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.2016.W z dnia </w:t>
            </w:r>
            <w:r w:rsidR="00523A6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10.03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523A6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</w:t>
            </w:r>
          </w:p>
        </w:tc>
      </w:tr>
    </w:tbl>
    <w:p w:rsidR="005E320E" w:rsidRDefault="005E320E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5C0CF9" w:rsidRPr="000B59C1" w:rsidRDefault="005C0CF9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5C0CF9" w:rsidRPr="000B59C1" w:rsidRDefault="005C0CF9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09 listopada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C72F6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5C0CF9" w:rsidRPr="000B59C1" w:rsidRDefault="005C0CF9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06 listopada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5C0CF9" w:rsidRPr="000B59C1" w:rsidRDefault="005C0CF9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5C0CF9" w:rsidRDefault="005C0CF9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131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10.03.2017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</w:p>
    <w:p w:rsidR="002C12C0" w:rsidRDefault="002C12C0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Default="002C12C0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Default="002C12C0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Default="002C12C0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Default="002C12C0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Default="002C12C0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Default="002C12C0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Default="002C12C0" w:rsidP="005C0CF9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AC1B52" w:rsidRDefault="00AC1B52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Pr="007E492D" w:rsidRDefault="002C12C0" w:rsidP="002C12C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 przeznaczeniem pod </w:t>
      </w:r>
      <w:r w:rsidR="007E49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budowę budynku garażowego</w:t>
      </w:r>
    </w:p>
    <w:p w:rsidR="002C12C0" w:rsidRPr="00AC1B52" w:rsidRDefault="002C12C0" w:rsidP="002C12C0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2C12C0" w:rsidRPr="000B59C1" w:rsidTr="002F5C9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2C12C0" w:rsidRPr="000B59C1" w:rsidRDefault="002C12C0" w:rsidP="002F5C9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C12C0" w:rsidRPr="000B59C1" w:rsidTr="002F5C9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167/20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781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Stroma</w:t>
            </w:r>
          </w:p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21.700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2.170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2C0" w:rsidRPr="000B59C1" w:rsidRDefault="002C12C0" w:rsidP="002F5C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2C0" w:rsidRPr="00C252B7" w:rsidRDefault="002C12C0" w:rsidP="00A00B5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pośredniej strefie miasta. Sąsiedztwo stanowią tereny </w:t>
            </w:r>
            <w:r w:rsidR="00A00B5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zabudowy mieszkaniowej, przeznaczone pod zabudowę mieszkaniową oraz tereny zadrzewione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A00B5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Nieruchomość położona jest na szczycie skarpy ze znacznym spadkiem w kierunku południowym. Na dzień oględzin dojazd drogą o nawierzchni utwardzonej – ulica Stroma. Poprzez teren przedmiotowej działki realizowany jest dojazd (dostęp do drogi publicznej – ul. Stroma) do nieruchomości zabudowanej tj. dz. nr 173. Działka z ograniczeniami w możliwości zabudowy, wynikającymi z kształtu działki</w:t>
            </w:r>
            <w:r w:rsidR="003912F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="00C252B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W granicach działki napowietrzna linia telekomunikacyjna. </w:t>
            </w:r>
            <w:r w:rsidR="003912F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 stanowi teren zabudowany schodami betonowymi oraz jest częściowo wykorzystywana jako ogród ozdobny oraz jako teraz dojazdowy do terenów położonych za linią zabudowy od ul. Stromej.</w:t>
            </w:r>
            <w:r w:rsidR="00C252B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A00B5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167/19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która objęta została decyzją o warunkach zabudowy nr GB.6730.</w:t>
            </w:r>
            <w:r w:rsidR="00A00B5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84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.2016.W z dnia </w:t>
            </w:r>
            <w:r w:rsidR="00A00B5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22.11.2016 r. </w:t>
            </w:r>
            <w:r>
              <w:rPr>
                <w:rFonts w:ascii="Garamond" w:hAnsi="Garamond"/>
                <w:sz w:val="16"/>
                <w:szCs w:val="16"/>
              </w:rPr>
              <w:t xml:space="preserve">Nabywca zobowiązany będzie w akcie nabycia do ustanowienia </w:t>
            </w:r>
            <w:r w:rsidR="00A00B59">
              <w:rPr>
                <w:rFonts w:ascii="Garamond" w:hAnsi="Garamond"/>
                <w:sz w:val="16"/>
                <w:szCs w:val="16"/>
              </w:rPr>
              <w:t xml:space="preserve">bezpłatnej </w:t>
            </w:r>
            <w:r>
              <w:rPr>
                <w:rFonts w:ascii="Garamond" w:hAnsi="Garamond"/>
                <w:sz w:val="16"/>
                <w:szCs w:val="16"/>
              </w:rPr>
              <w:t xml:space="preserve">służebności gruntowej polegającej na prawie przechodu i przejazdu dla każdoczesnego użytkownika wieczystego lub właściciela nieruchomości nr </w:t>
            </w:r>
            <w:r w:rsidR="00C72F6C">
              <w:rPr>
                <w:rFonts w:ascii="Garamond" w:hAnsi="Garamond"/>
                <w:sz w:val="16"/>
                <w:szCs w:val="16"/>
              </w:rPr>
              <w:t>173 obręb 3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  <w:r w:rsidR="003912FD">
              <w:rPr>
                <w:rFonts w:ascii="Garamond" w:hAnsi="Garamond"/>
                <w:sz w:val="16"/>
                <w:szCs w:val="16"/>
              </w:rPr>
              <w:t xml:space="preserve"> Teren nieruchomości położony jest w strefie oddziaływania zespołu </w:t>
            </w:r>
            <w:proofErr w:type="spellStart"/>
            <w:r w:rsidR="003912FD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="003912FD">
              <w:rPr>
                <w:rFonts w:ascii="Garamond" w:hAnsi="Garamond"/>
                <w:sz w:val="16"/>
                <w:szCs w:val="16"/>
              </w:rPr>
              <w:t xml:space="preserve"> – krajobrazowego miasta Gubina wpisanego do rejestru zabytków (wszelkie prace o charakterze urbanistycznym w tej strefie wymagają uzgodnienia z Wojewódzkim Konserwatorem Zabytków).</w:t>
            </w:r>
          </w:p>
        </w:tc>
      </w:tr>
    </w:tbl>
    <w:p w:rsidR="002C12C0" w:rsidRDefault="002C12C0" w:rsidP="002C12C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2C12C0" w:rsidRPr="000B59C1" w:rsidRDefault="002C12C0" w:rsidP="002C12C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2C12C0" w:rsidRPr="000B59C1" w:rsidRDefault="002C12C0" w:rsidP="002C12C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09 listopada 2017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="00C72F6C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: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2C12C0" w:rsidRPr="000B59C1" w:rsidRDefault="002C12C0" w:rsidP="002C12C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06 listopada 2017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2C12C0" w:rsidRPr="000B59C1" w:rsidRDefault="002C12C0" w:rsidP="002C12C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C1B52" w:rsidRPr="001344B1" w:rsidRDefault="002C12C0" w:rsidP="003D2DCB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C72F6C">
        <w:rPr>
          <w:rFonts w:ascii="Garamond" w:eastAsia="Times New Roman" w:hAnsi="Garamond" w:cs="Times New Roman"/>
          <w:sz w:val="20"/>
          <w:szCs w:val="20"/>
          <w:lang w:eastAsia="pl-PL"/>
        </w:rPr>
        <w:t>84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C72F6C">
        <w:rPr>
          <w:rFonts w:ascii="Garamond" w:eastAsia="Times New Roman" w:hAnsi="Garamond" w:cs="Times New Roman"/>
          <w:sz w:val="20"/>
          <w:szCs w:val="20"/>
          <w:lang w:eastAsia="pl-PL"/>
        </w:rPr>
        <w:t>22.11.2016</w:t>
      </w:r>
      <w:r w:rsidRPr="001344B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Pr="001344B1">
        <w:rPr>
          <w:rFonts w:ascii="Garamond" w:eastAsia="Times New Roman" w:hAnsi="Garamond" w:cs="Times New Roman"/>
          <w:sz w:val="20"/>
          <w:szCs w:val="20"/>
          <w:lang w:eastAsia="pl-PL"/>
        </w:rPr>
        <w:t>.). Zagospodarowanie terenu nastąpi na podstawie szczegółowych warunków, które zostaną określone na wniosek nabywcy w decyzji o warunkach zabudowy.</w:t>
      </w:r>
      <w:r w:rsidR="003D2DC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3D2DCB" w:rsidRPr="003D2DCB">
        <w:rPr>
          <w:rFonts w:ascii="Garamond" w:hAnsi="Garamond"/>
          <w:sz w:val="20"/>
          <w:szCs w:val="20"/>
        </w:rPr>
        <w:t>Ograniczenia w możliwości zabudowy – nieruchomość obciążona będzie służebnością przechodu i przejazdu.</w:t>
      </w:r>
    </w:p>
    <w:p w:rsidR="00422007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5E320E"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422007" w:rsidRPr="00A32B1C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</w:t>
      </w:r>
      <w:r w:rsidR="003912F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sprawdzenia czy przedmiotowe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</w:t>
      </w:r>
      <w:r w:rsidR="003912FD">
        <w:rPr>
          <w:rFonts w:ascii="Garamond" w:eastAsia="Times New Roman" w:hAnsi="Garamond" w:cs="Times New Roman"/>
          <w:sz w:val="20"/>
          <w:szCs w:val="20"/>
          <w:lang w:eastAsia="pl-PL"/>
        </w:rPr>
        <w:t>ruchomości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odpowiada</w:t>
      </w:r>
      <w:r w:rsidR="003912FD">
        <w:rPr>
          <w:rFonts w:ascii="Garamond" w:eastAsia="Times New Roman" w:hAnsi="Garamond" w:cs="Times New Roman"/>
          <w:sz w:val="20"/>
          <w:szCs w:val="20"/>
          <w:lang w:eastAsia="pl-PL"/>
        </w:rPr>
        <w:t>ją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422007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422007" w:rsidRPr="00233C18" w:rsidRDefault="00422007" w:rsidP="00422007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33C18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bookmarkStart w:id="0" w:name="_GoBack"/>
      <w:bookmarkEnd w:id="0"/>
    </w:p>
    <w:p w:rsidR="003912FD" w:rsidRDefault="003912FD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3912FD" w:rsidRDefault="003912FD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22007" w:rsidRPr="006965C8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2147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22007" w:rsidRPr="000B59C1" w:rsidRDefault="00422007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5E320E">
        <w:rPr>
          <w:rFonts w:ascii="Garamond" w:eastAsia="Times New Roman" w:hAnsi="Garamond" w:cs="Times New Roman"/>
          <w:sz w:val="20"/>
          <w:szCs w:val="20"/>
          <w:lang w:eastAsia="pl-PL"/>
        </w:rPr>
        <w:t>05 października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5E320E" w:rsidRPr="005E320E" w:rsidRDefault="00422007" w:rsidP="00093C5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ch informacji odnośnie zbywan</w:t>
      </w:r>
      <w:r w:rsidR="005E320E">
        <w:rPr>
          <w:rFonts w:ascii="Garamond" w:eastAsia="Times New Roman" w:hAnsi="Garamond" w:cs="Times New Roman"/>
          <w:sz w:val="20"/>
          <w:szCs w:val="20"/>
          <w:lang w:eastAsia="pl-PL"/>
        </w:rPr>
        <w:t>ych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</w:t>
      </w:r>
      <w:r w:rsidR="005E320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iego w Gubinie </w:t>
      </w:r>
      <w:hyperlink r:id="rId5" w:history="1">
        <w:r w:rsidR="005E320E" w:rsidRPr="00537D1A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5E320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 w:rsidR="005E320E" w:rsidRPr="005E320E">
        <w:rPr>
          <w:rFonts w:ascii="Garamond" w:hAnsi="Garamond"/>
          <w:sz w:val="20"/>
          <w:szCs w:val="20"/>
        </w:rPr>
        <w:t xml:space="preserve">www.przetargi-komunikaty.pl. </w:t>
      </w:r>
    </w:p>
    <w:p w:rsidR="00422007" w:rsidRPr="00233C18" w:rsidRDefault="00422007" w:rsidP="00093C55">
      <w:pPr>
        <w:spacing w:after="200" w:line="276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C912DE" w:rsidRPr="003222CA" w:rsidRDefault="00C912DE" w:rsidP="0042200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sectPr w:rsidR="00C912DE" w:rsidRPr="003222CA" w:rsidSect="002C12C0">
      <w:pgSz w:w="16838" w:h="11906" w:orient="landscape"/>
      <w:pgMar w:top="142" w:right="138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93C55"/>
    <w:rsid w:val="000B59C1"/>
    <w:rsid w:val="001B4148"/>
    <w:rsid w:val="002212D6"/>
    <w:rsid w:val="002A14ED"/>
    <w:rsid w:val="002B2502"/>
    <w:rsid w:val="002C12C0"/>
    <w:rsid w:val="003222CA"/>
    <w:rsid w:val="003912FD"/>
    <w:rsid w:val="003C4636"/>
    <w:rsid w:val="003D2DCB"/>
    <w:rsid w:val="003E27C5"/>
    <w:rsid w:val="003F7B44"/>
    <w:rsid w:val="00422007"/>
    <w:rsid w:val="004C3A3C"/>
    <w:rsid w:val="004C45C7"/>
    <w:rsid w:val="00523A6F"/>
    <w:rsid w:val="00530444"/>
    <w:rsid w:val="005437CE"/>
    <w:rsid w:val="00572F47"/>
    <w:rsid w:val="005C0CF9"/>
    <w:rsid w:val="005E320E"/>
    <w:rsid w:val="0064314A"/>
    <w:rsid w:val="006A6BC0"/>
    <w:rsid w:val="006C52D8"/>
    <w:rsid w:val="00703255"/>
    <w:rsid w:val="00725D1D"/>
    <w:rsid w:val="007A405F"/>
    <w:rsid w:val="007A6762"/>
    <w:rsid w:val="007E492D"/>
    <w:rsid w:val="00805AFF"/>
    <w:rsid w:val="00847568"/>
    <w:rsid w:val="00857026"/>
    <w:rsid w:val="008A115C"/>
    <w:rsid w:val="009F399C"/>
    <w:rsid w:val="00A00B59"/>
    <w:rsid w:val="00A32B1C"/>
    <w:rsid w:val="00AB7392"/>
    <w:rsid w:val="00AC1B52"/>
    <w:rsid w:val="00C05507"/>
    <w:rsid w:val="00C252B7"/>
    <w:rsid w:val="00C36DF5"/>
    <w:rsid w:val="00C70380"/>
    <w:rsid w:val="00C72F6C"/>
    <w:rsid w:val="00C912DE"/>
    <w:rsid w:val="00CE6BF8"/>
    <w:rsid w:val="00D67015"/>
    <w:rsid w:val="00D70A22"/>
    <w:rsid w:val="00E46A4D"/>
    <w:rsid w:val="00E46E96"/>
    <w:rsid w:val="00E4784D"/>
    <w:rsid w:val="00E97E19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2700</Words>
  <Characters>16202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18</cp:revision>
  <cp:lastPrinted>2017-09-28T07:41:00Z</cp:lastPrinted>
  <dcterms:created xsi:type="dcterms:W3CDTF">2016-05-05T05:54:00Z</dcterms:created>
  <dcterms:modified xsi:type="dcterms:W3CDTF">2017-09-28T07:42:00Z</dcterms:modified>
</cp:coreProperties>
</file>